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75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904"/>
        <w:gridCol w:w="5186"/>
        <w:gridCol w:w="1668"/>
      </w:tblGrid>
      <w:tr w:rsidR="00A23F48" w:rsidRPr="00D03F2E" w14:paraId="30920A1D" w14:textId="77777777" w:rsidTr="00D03F2E">
        <w:trPr>
          <w:trHeight w:val="3089"/>
        </w:trPr>
        <w:tc>
          <w:tcPr>
            <w:tcW w:w="3904" w:type="dxa"/>
            <w:shd w:val="clear" w:color="auto" w:fill="FFEFFF"/>
          </w:tcPr>
          <w:p w14:paraId="78D908C9" w14:textId="764B11B3" w:rsidR="008E39B4" w:rsidRPr="00D03F2E" w:rsidRDefault="008E39B4" w:rsidP="0007415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38F301E1" w14:textId="5842675F" w:rsidR="00D37F67" w:rsidRPr="00AB5527" w:rsidRDefault="00AB5527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B552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Cold War </w:t>
            </w:r>
            <w:r w:rsidR="00D37F67" w:rsidRPr="00AB552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Unit 1:</w:t>
            </w:r>
          </w:p>
          <w:p w14:paraId="40E043AA" w14:textId="20C3F310" w:rsidR="00D37F67" w:rsidRPr="00AB5527" w:rsidRDefault="00AB5527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B552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The origins of the Cold War, 1941-58</w:t>
            </w:r>
          </w:p>
          <w:p w14:paraId="757809B9" w14:textId="565FE20F" w:rsidR="008E39B4" w:rsidRPr="00D03F2E" w:rsidRDefault="008E39B4" w:rsidP="00D37F6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186" w:type="dxa"/>
            <w:shd w:val="clear" w:color="auto" w:fill="FFEFFF"/>
          </w:tcPr>
          <w:p w14:paraId="27BEC184" w14:textId="0CF19653" w:rsidR="00D37F67" w:rsidRPr="00D03F2E" w:rsidRDefault="008E39B4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4C75361B" w14:textId="38D3385D" w:rsidR="00D37F67" w:rsidRPr="00D03F2E" w:rsidRDefault="00D37F67" w:rsidP="00FE54CF">
            <w:pPr>
              <w:rPr>
                <w:rFonts w:cstheme="minorHAnsi"/>
              </w:rPr>
            </w:pPr>
            <w:r w:rsidRPr="00D03F2E">
              <w:rPr>
                <w:rFonts w:cstheme="minorHAnsi"/>
              </w:rPr>
              <w:t xml:space="preserve">This is the first Unit for </w:t>
            </w:r>
            <w:r w:rsidR="00AB5527">
              <w:rPr>
                <w:rFonts w:cstheme="minorHAnsi"/>
              </w:rPr>
              <w:t xml:space="preserve">the Cold War. It covers </w:t>
            </w:r>
            <w:r w:rsidR="000B21AB">
              <w:rPr>
                <w:rFonts w:cstheme="minorHAnsi"/>
              </w:rPr>
              <w:t xml:space="preserve">the </w:t>
            </w:r>
            <w:r w:rsidR="00AB5527">
              <w:rPr>
                <w:rFonts w:cstheme="minorHAnsi"/>
              </w:rPr>
              <w:t>scrutiny of the reasons why tension grew between the superpower countries after the Second World War</w:t>
            </w:r>
            <w:r w:rsidRPr="00D03F2E">
              <w:rPr>
                <w:rFonts w:cstheme="minorHAnsi"/>
              </w:rPr>
              <w:t xml:space="preserve"> </w:t>
            </w:r>
            <w:r w:rsidR="00663734">
              <w:rPr>
                <w:rFonts w:cstheme="minorHAnsi"/>
              </w:rPr>
              <w:t xml:space="preserve">and how it caused further </w:t>
            </w:r>
            <w:r w:rsidR="0015513D">
              <w:rPr>
                <w:rFonts w:cstheme="minorHAnsi"/>
              </w:rPr>
              <w:t>problems between the countries. It also shows the introduction of the new type of warfare.</w:t>
            </w:r>
          </w:p>
        </w:tc>
        <w:tc>
          <w:tcPr>
            <w:tcW w:w="1668" w:type="dxa"/>
            <w:vMerge w:val="restart"/>
            <w:shd w:val="clear" w:color="auto" w:fill="FFEFFF"/>
          </w:tcPr>
          <w:p w14:paraId="47A991E2" w14:textId="0D249F5B" w:rsidR="008E39B4" w:rsidRPr="00D03F2E" w:rsidRDefault="008E39B4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D03F2E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7CC96D06" w14:textId="7BB65B0E" w:rsidR="00D37F67" w:rsidRPr="00D03F2E" w:rsidRDefault="00D37F67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See Glossary</w:t>
            </w:r>
          </w:p>
          <w:p w14:paraId="1DD019D4" w14:textId="77777777" w:rsidR="00413E73" w:rsidRPr="00D03F2E" w:rsidRDefault="00413E73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4D59A8D6" w14:textId="17BBF2C7" w:rsidR="00413E73" w:rsidRPr="00D03F2E" w:rsidRDefault="00413E73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Key People</w:t>
            </w:r>
          </w:p>
          <w:p w14:paraId="7BD704B5" w14:textId="21638E8C" w:rsidR="00413E73" w:rsidRDefault="004C5E85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Churchill</w:t>
            </w:r>
          </w:p>
          <w:p w14:paraId="03604D7B" w14:textId="57EA9E8F" w:rsidR="004C5E85" w:rsidRDefault="004C5E85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Truman</w:t>
            </w:r>
          </w:p>
          <w:p w14:paraId="5ED1AF0F" w14:textId="78F339DD" w:rsidR="004C5E85" w:rsidRDefault="004C5E85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Roosevelt</w:t>
            </w:r>
          </w:p>
          <w:p w14:paraId="25FFD5D0" w14:textId="3ABF8A96" w:rsidR="004C5E85" w:rsidRDefault="004C5E85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Stalin</w:t>
            </w:r>
          </w:p>
          <w:p w14:paraId="61346B9D" w14:textId="5D808586" w:rsidR="004C5E85" w:rsidRDefault="004C5E85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Attlee</w:t>
            </w:r>
          </w:p>
          <w:p w14:paraId="268F4A89" w14:textId="0DF70788" w:rsidR="004C5E85" w:rsidRDefault="006F65E4" w:rsidP="00FE54CF">
            <w:pPr>
              <w:rPr>
                <w:rFonts w:cstheme="minorHAnsi"/>
                <w:b/>
                <w:bCs/>
                <w:color w:val="522A5B"/>
              </w:rPr>
            </w:pPr>
            <w:proofErr w:type="spellStart"/>
            <w:r>
              <w:rPr>
                <w:rFonts w:cstheme="minorHAnsi"/>
                <w:b/>
                <w:bCs/>
                <w:color w:val="522A5B"/>
              </w:rPr>
              <w:t>Nikoli</w:t>
            </w:r>
            <w:proofErr w:type="spellEnd"/>
            <w:r>
              <w:rPr>
                <w:rFonts w:cstheme="minorHAnsi"/>
                <w:b/>
                <w:bCs/>
                <w:color w:val="522A5B"/>
              </w:rPr>
              <w:t xml:space="preserve"> Novikov</w:t>
            </w:r>
          </w:p>
          <w:p w14:paraId="58E89F0E" w14:textId="393DF0BC" w:rsidR="006F65E4" w:rsidRDefault="009C6330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George Kennan</w:t>
            </w:r>
          </w:p>
          <w:p w14:paraId="18491D0A" w14:textId="3C12F5C2" w:rsidR="009C6330" w:rsidRDefault="009C6330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George Marshall</w:t>
            </w:r>
          </w:p>
          <w:p w14:paraId="3E6AF99B" w14:textId="129B0276" w:rsidR="00311B37" w:rsidRDefault="00311B37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Khrushchev</w:t>
            </w:r>
          </w:p>
          <w:p w14:paraId="5FBA2CE7" w14:textId="1AD1FFA3" w:rsidR="00311B37" w:rsidRDefault="00B845CB" w:rsidP="00FE54CF">
            <w:pPr>
              <w:rPr>
                <w:rFonts w:cstheme="minorHAnsi"/>
                <w:b/>
                <w:bCs/>
                <w:color w:val="522A5B"/>
              </w:rPr>
            </w:pPr>
            <w:proofErr w:type="spellStart"/>
            <w:r>
              <w:rPr>
                <w:rFonts w:cstheme="minorHAnsi"/>
                <w:b/>
                <w:bCs/>
                <w:color w:val="522A5B"/>
              </w:rPr>
              <w:t>Imre</w:t>
            </w:r>
            <w:proofErr w:type="spellEnd"/>
            <w:r>
              <w:rPr>
                <w:rFonts w:cstheme="minorHAnsi"/>
                <w:b/>
                <w:bCs/>
                <w:color w:val="522A5B"/>
              </w:rPr>
              <w:t xml:space="preserve"> Nagy</w:t>
            </w:r>
          </w:p>
          <w:p w14:paraId="0548DCB8" w14:textId="201736C7" w:rsidR="00B845CB" w:rsidRPr="00D03F2E" w:rsidRDefault="00B845CB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 xml:space="preserve">Matyas </w:t>
            </w:r>
            <w:proofErr w:type="spellStart"/>
            <w:r>
              <w:rPr>
                <w:rFonts w:cstheme="minorHAnsi"/>
                <w:b/>
                <w:bCs/>
                <w:color w:val="522A5B"/>
              </w:rPr>
              <w:t>Rakosi</w:t>
            </w:r>
            <w:proofErr w:type="spellEnd"/>
          </w:p>
          <w:p w14:paraId="073AF42F" w14:textId="77777777" w:rsidR="00413E73" w:rsidRPr="00D03F2E" w:rsidRDefault="00413E73" w:rsidP="00FE54CF">
            <w:pPr>
              <w:rPr>
                <w:rFonts w:cstheme="minorHAnsi"/>
                <w:b/>
                <w:bCs/>
                <w:color w:val="522A5B"/>
              </w:rPr>
            </w:pPr>
          </w:p>
          <w:p w14:paraId="37E8DB4D" w14:textId="77777777" w:rsidR="00413E73" w:rsidRPr="00D03F2E" w:rsidRDefault="00413E73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67D7E2EA" w14:textId="77777777" w:rsidR="00413E73" w:rsidRPr="00D03F2E" w:rsidRDefault="00413E73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49147324" w14:textId="678A3EEC" w:rsidR="008E39B4" w:rsidRPr="00D03F2E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D03F2E" w14:paraId="70713B32" w14:textId="77777777" w:rsidTr="00D03F2E">
        <w:trPr>
          <w:trHeight w:val="3639"/>
        </w:trPr>
        <w:tc>
          <w:tcPr>
            <w:tcW w:w="9090" w:type="dxa"/>
            <w:gridSpan w:val="2"/>
            <w:shd w:val="clear" w:color="auto" w:fill="FFEFFF"/>
          </w:tcPr>
          <w:p w14:paraId="6D9AD2CC" w14:textId="77777777" w:rsidR="008E39B4" w:rsidRPr="00D03F2E" w:rsidRDefault="008E39B4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3A36E34B" w14:textId="77777777" w:rsidR="00B17C03" w:rsidRPr="00B17C03" w:rsidRDefault="00B17C03" w:rsidP="00FE54CF">
            <w:pPr>
              <w:rPr>
                <w:b/>
                <w:bCs/>
                <w:sz w:val="20"/>
                <w:szCs w:val="20"/>
              </w:rPr>
            </w:pPr>
            <w:r w:rsidRPr="00B17C03">
              <w:rPr>
                <w:b/>
                <w:bCs/>
                <w:sz w:val="20"/>
                <w:szCs w:val="20"/>
              </w:rPr>
              <w:t>1 Early tension between East and West</w:t>
            </w:r>
            <w:r w:rsidRPr="00B17C03">
              <w:rPr>
                <w:b/>
                <w:bCs/>
                <w:sz w:val="20"/>
                <w:szCs w:val="20"/>
              </w:rPr>
              <w:t>:</w:t>
            </w:r>
          </w:p>
          <w:p w14:paraId="6A5EBB79" w14:textId="77777777" w:rsidR="00B17C03" w:rsidRPr="00B17C03" w:rsidRDefault="00B17C03" w:rsidP="00B17C03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B17C03">
              <w:rPr>
                <w:sz w:val="20"/>
                <w:szCs w:val="20"/>
              </w:rPr>
              <w:t xml:space="preserve">The Grand Alliance. The outcomes of the Tehran, Yalta and Potsdam conferences. </w:t>
            </w:r>
          </w:p>
          <w:p w14:paraId="232F4857" w14:textId="77777777" w:rsidR="00B17C03" w:rsidRPr="00B17C03" w:rsidRDefault="00B17C03" w:rsidP="00B17C03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B17C03">
              <w:rPr>
                <w:sz w:val="20"/>
                <w:szCs w:val="20"/>
              </w:rPr>
              <w:t xml:space="preserve">The ideological differences between the superpowers and the attitudes of Stalin, Truman and Churchill. </w:t>
            </w:r>
          </w:p>
          <w:p w14:paraId="0668C0AD" w14:textId="77777777" w:rsidR="00B17C03" w:rsidRPr="00B17C03" w:rsidRDefault="00B17C03" w:rsidP="00B17C03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B17C03">
              <w:rPr>
                <w:sz w:val="20"/>
                <w:szCs w:val="20"/>
              </w:rPr>
              <w:t xml:space="preserve">The impact on US-Soviet relations of the development of the atomic bomb, the Long and Novikov telegrams and the creation of Soviet satellite states in Eastern Europe. </w:t>
            </w:r>
          </w:p>
          <w:p w14:paraId="03426AB1" w14:textId="77777777" w:rsidR="00B17C03" w:rsidRPr="00B17C03" w:rsidRDefault="00B17C03" w:rsidP="00FE54CF">
            <w:pPr>
              <w:rPr>
                <w:b/>
                <w:bCs/>
                <w:sz w:val="20"/>
                <w:szCs w:val="20"/>
              </w:rPr>
            </w:pPr>
            <w:r w:rsidRPr="00B17C03">
              <w:rPr>
                <w:b/>
                <w:bCs/>
                <w:sz w:val="20"/>
                <w:szCs w:val="20"/>
              </w:rPr>
              <w:t xml:space="preserve">2 The development of the Cold War </w:t>
            </w:r>
          </w:p>
          <w:p w14:paraId="28D9E731" w14:textId="77777777" w:rsidR="00B17C03" w:rsidRPr="00B17C03" w:rsidRDefault="00B17C03" w:rsidP="00B17C03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B17C03">
              <w:rPr>
                <w:sz w:val="20"/>
                <w:szCs w:val="20"/>
              </w:rPr>
              <w:t xml:space="preserve">The impact on US-Soviet relations of the Truman Doctrine and the Marshall Plan, 1947. </w:t>
            </w:r>
          </w:p>
          <w:p w14:paraId="27343BC3" w14:textId="77777777" w:rsidR="00B17C03" w:rsidRPr="00B17C03" w:rsidRDefault="00B17C03" w:rsidP="00B17C03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B17C03">
              <w:rPr>
                <w:sz w:val="20"/>
                <w:szCs w:val="20"/>
              </w:rPr>
              <w:t xml:space="preserve">The significance of Cominform (1947), Comecon (1949) and the formation of NATO (1949). </w:t>
            </w:r>
          </w:p>
          <w:p w14:paraId="1445468B" w14:textId="77777777" w:rsidR="00B17C03" w:rsidRPr="00B17C03" w:rsidRDefault="00B17C03" w:rsidP="00B17C03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B17C03">
              <w:rPr>
                <w:sz w:val="20"/>
                <w:szCs w:val="20"/>
              </w:rPr>
              <w:t xml:space="preserve">Berlin: its division into zones. The Berlin Crisis (blockade and airlift) of 1948-49 and its impact. </w:t>
            </w:r>
          </w:p>
          <w:p w14:paraId="38A76CB3" w14:textId="77777777" w:rsidR="00B17C03" w:rsidRPr="00B17C03" w:rsidRDefault="00B17C03" w:rsidP="00B17C03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B17C03">
              <w:rPr>
                <w:sz w:val="20"/>
                <w:szCs w:val="20"/>
              </w:rPr>
              <w:t xml:space="preserve">The formation of the Federal Republic of Germany and German Democratic Republic. </w:t>
            </w:r>
          </w:p>
          <w:p w14:paraId="73943172" w14:textId="77777777" w:rsidR="00B17C03" w:rsidRPr="00B17C03" w:rsidRDefault="00B17C03" w:rsidP="00FE54CF">
            <w:pPr>
              <w:rPr>
                <w:b/>
                <w:bCs/>
                <w:sz w:val="20"/>
                <w:szCs w:val="20"/>
              </w:rPr>
            </w:pPr>
            <w:r w:rsidRPr="00B17C03">
              <w:rPr>
                <w:b/>
                <w:bCs/>
                <w:sz w:val="20"/>
                <w:szCs w:val="20"/>
              </w:rPr>
              <w:t xml:space="preserve">3 The Cold War intensifies </w:t>
            </w:r>
          </w:p>
          <w:p w14:paraId="4C4595F8" w14:textId="77777777" w:rsidR="00B17C03" w:rsidRPr="00B17C03" w:rsidRDefault="00B17C03" w:rsidP="00B17C03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B17C03">
              <w:rPr>
                <w:sz w:val="20"/>
                <w:szCs w:val="20"/>
              </w:rPr>
              <w:t xml:space="preserve">The significance of the arms race. The formation of the Warsaw Pact. </w:t>
            </w:r>
          </w:p>
          <w:p w14:paraId="353AAB71" w14:textId="77777777" w:rsidR="00B17C03" w:rsidRPr="00B17C03" w:rsidRDefault="00B17C03" w:rsidP="00B17C03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B17C03">
              <w:rPr>
                <w:sz w:val="20"/>
                <w:szCs w:val="20"/>
              </w:rPr>
              <w:t xml:space="preserve">Events in 1956 leading to the Hungarian Uprising, and Khrushchev’s response. </w:t>
            </w:r>
          </w:p>
          <w:p w14:paraId="704CD9BE" w14:textId="1F41AA9A" w:rsidR="008E39B4" w:rsidRPr="00B17C03" w:rsidRDefault="00B17C03" w:rsidP="00B17C03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B17C03">
              <w:rPr>
                <w:sz w:val="20"/>
                <w:szCs w:val="20"/>
              </w:rPr>
              <w:t>The international reaction to the Soviet invasion of Hungary.</w:t>
            </w:r>
          </w:p>
        </w:tc>
        <w:tc>
          <w:tcPr>
            <w:tcW w:w="1668" w:type="dxa"/>
            <w:vMerge/>
            <w:shd w:val="clear" w:color="auto" w:fill="FFEFFF"/>
          </w:tcPr>
          <w:p w14:paraId="4F4A4CCD" w14:textId="77777777" w:rsidR="008E39B4" w:rsidRPr="00D03F2E" w:rsidRDefault="008E39B4" w:rsidP="00FE54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D03F2E" w14:paraId="41DD1A54" w14:textId="77777777" w:rsidTr="00B845CB">
        <w:trPr>
          <w:trHeight w:val="4045"/>
        </w:trPr>
        <w:tc>
          <w:tcPr>
            <w:tcW w:w="9090" w:type="dxa"/>
            <w:gridSpan w:val="2"/>
            <w:shd w:val="clear" w:color="auto" w:fill="FFEFFF"/>
          </w:tcPr>
          <w:p w14:paraId="475F471E" w14:textId="0B4F3F51" w:rsidR="00413E73" w:rsidRPr="00D03F2E" w:rsidRDefault="00413E73" w:rsidP="00413E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b/>
                <w:bCs/>
                <w:color w:val="522A5B"/>
                <w:sz w:val="22"/>
                <w:szCs w:val="22"/>
                <w:u w:val="single"/>
              </w:rPr>
              <w:t>What opportunities are there for wider study?</w:t>
            </w:r>
            <w:r w:rsidRPr="00D03F2E">
              <w:rPr>
                <w:rStyle w:val="eop"/>
                <w:rFonts w:ascii="Calibri" w:hAnsi="Calibri" w:cs="Calibri"/>
                <w:color w:val="522A5B"/>
                <w:sz w:val="22"/>
                <w:szCs w:val="22"/>
              </w:rPr>
              <w:t> </w:t>
            </w:r>
          </w:p>
          <w:p w14:paraId="2D3811E8" w14:textId="77777777" w:rsidR="00413E73" w:rsidRPr="00D03F2E" w:rsidRDefault="00413E73" w:rsidP="00413E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Careers: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4060608" w14:textId="77777777" w:rsidR="00413E73" w:rsidRPr="00D03F2E" w:rsidRDefault="00413E73" w:rsidP="00413E7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Doctor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6224D2E" w14:textId="33E55178" w:rsidR="00413E73" w:rsidRPr="00B17C03" w:rsidRDefault="00413E73" w:rsidP="00413E7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Journalist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73395D" w14:textId="5903C474" w:rsidR="00B17C03" w:rsidRPr="00D03F2E" w:rsidRDefault="00B17C03" w:rsidP="00413E7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International relations</w:t>
            </w:r>
          </w:p>
          <w:p w14:paraId="02A4C031" w14:textId="77777777" w:rsidR="00D03F2E" w:rsidRPr="00D03F2E" w:rsidRDefault="00D03F2E" w:rsidP="00D03F2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33E70F0" w14:textId="30443500" w:rsidR="00413E73" w:rsidRPr="00D03F2E" w:rsidRDefault="00413E73" w:rsidP="00413E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Trips: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D7FAB49" w14:textId="51370D38" w:rsidR="00413E73" w:rsidRPr="00B17C03" w:rsidRDefault="00B17C03" w:rsidP="00413E7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17C0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Pr="00B17C0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erlin Trip</w:t>
            </w:r>
          </w:p>
          <w:p w14:paraId="65DAF259" w14:textId="7AC11216" w:rsidR="00413E73" w:rsidRPr="00D03F2E" w:rsidRDefault="00413E73" w:rsidP="00413E7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Guest Lectures at Chalke Valley History Festival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BDFBFCA" w14:textId="77777777" w:rsidR="00D03F2E" w:rsidRPr="00D03F2E" w:rsidRDefault="00D03F2E" w:rsidP="00D03F2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1B903094" w14:textId="77777777" w:rsidR="00413E73" w:rsidRPr="00D03F2E" w:rsidRDefault="00413E73" w:rsidP="00413E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Further Reading: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5A454FE" w14:textId="66CEB210" w:rsidR="00413E73" w:rsidRPr="004C5E85" w:rsidRDefault="00413E73" w:rsidP="00413E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5E8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Pearson </w:t>
            </w:r>
            <w:r w:rsidR="00B17C03" w:rsidRPr="004C5E8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="00B17C03" w:rsidRPr="004C5E8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old War</w:t>
            </w:r>
            <w:r w:rsidRPr="004C5E8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03F2E" w:rsidRPr="004C5E8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Textbook</w:t>
            </w:r>
          </w:p>
          <w:p w14:paraId="707A73FE" w14:textId="77777777" w:rsidR="004C5E85" w:rsidRPr="004C5E85" w:rsidRDefault="00D51E38" w:rsidP="000948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C5E85">
              <w:rPr>
                <w:rFonts w:asciiTheme="minorHAnsi" w:hAnsiTheme="minorHAnsi" w:cstheme="minorHAnsi"/>
                <w:sz w:val="22"/>
                <w:szCs w:val="22"/>
              </w:rPr>
              <w:t>The Cold War</w:t>
            </w:r>
            <w:r w:rsidR="004C5E85" w:rsidRPr="004C5E85">
              <w:rPr>
                <w:rFonts w:asciiTheme="minorHAnsi" w:hAnsiTheme="minorHAnsi" w:cstheme="minorHAnsi"/>
                <w:sz w:val="22"/>
                <w:szCs w:val="22"/>
              </w:rPr>
              <w:t>- Martin Walker</w:t>
            </w:r>
          </w:p>
          <w:p w14:paraId="001E2D6F" w14:textId="0041EC46" w:rsidR="00B845CB" w:rsidRPr="00B845CB" w:rsidRDefault="004C5E85" w:rsidP="00B845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C5E85">
              <w:rPr>
                <w:rFonts w:asciiTheme="minorHAnsi" w:hAnsiTheme="minorHAnsi" w:cstheme="minorHAnsi"/>
                <w:sz w:val="22"/>
                <w:szCs w:val="22"/>
              </w:rPr>
              <w:t xml:space="preserve">The Cold War- </w:t>
            </w:r>
            <w:proofErr w:type="spellStart"/>
            <w:r w:rsidRPr="004C5E85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  <w:proofErr w:type="gramStart"/>
            <w:r w:rsidRPr="004C5E85">
              <w:rPr>
                <w:rFonts w:asciiTheme="minorHAnsi" w:hAnsiTheme="minorHAnsi" w:cstheme="minorHAnsi"/>
                <w:sz w:val="22"/>
                <w:szCs w:val="22"/>
              </w:rPr>
              <w:t>B.Jones</w:t>
            </w:r>
            <w:proofErr w:type="spellEnd"/>
            <w:proofErr w:type="gramEnd"/>
          </w:p>
        </w:tc>
        <w:tc>
          <w:tcPr>
            <w:tcW w:w="1668" w:type="dxa"/>
            <w:vMerge/>
            <w:shd w:val="clear" w:color="auto" w:fill="FFEFFF"/>
          </w:tcPr>
          <w:p w14:paraId="20C1B22D" w14:textId="77777777" w:rsidR="008E39B4" w:rsidRPr="00D03F2E" w:rsidRDefault="008E39B4" w:rsidP="00FE54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D03F2E" w14:paraId="08B85AF4" w14:textId="77777777" w:rsidTr="00D03F2E">
        <w:trPr>
          <w:trHeight w:val="112"/>
        </w:trPr>
        <w:tc>
          <w:tcPr>
            <w:tcW w:w="9090" w:type="dxa"/>
            <w:gridSpan w:val="2"/>
            <w:shd w:val="clear" w:color="auto" w:fill="FFEFFF"/>
          </w:tcPr>
          <w:p w14:paraId="5A47D04C" w14:textId="77777777" w:rsidR="008E39B4" w:rsidRPr="00D03F2E" w:rsidRDefault="008E39B4" w:rsidP="00FE54CF">
            <w:pPr>
              <w:rPr>
                <w:rFonts w:cstheme="minorHAnsi"/>
                <w:b/>
                <w:bCs/>
                <w:color w:val="461E64"/>
                <w:u w:val="single"/>
              </w:rPr>
            </w:pPr>
            <w:r w:rsidRPr="00D03F2E">
              <w:rPr>
                <w:rFonts w:cstheme="minorHAnsi"/>
                <w:b/>
                <w:bCs/>
                <w:color w:val="461E64"/>
                <w:u w:val="single"/>
              </w:rPr>
              <w:t>How will I be assessed?</w:t>
            </w:r>
          </w:p>
          <w:p w14:paraId="68715E55" w14:textId="1B840050" w:rsidR="00094800" w:rsidRPr="00B845CB" w:rsidRDefault="00B845CB" w:rsidP="0009480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845CB">
              <w:rPr>
                <w:rFonts w:asciiTheme="minorHAnsi" w:hAnsiTheme="minorHAnsi" w:cstheme="minorHAnsi"/>
                <w:sz w:val="22"/>
                <w:szCs w:val="22"/>
              </w:rPr>
              <w:t>8 mark</w:t>
            </w:r>
            <w:proofErr w:type="gramEnd"/>
            <w:r w:rsidRPr="00B845CB">
              <w:rPr>
                <w:rFonts w:asciiTheme="minorHAnsi" w:hAnsiTheme="minorHAnsi" w:cstheme="minorHAnsi"/>
                <w:sz w:val="22"/>
                <w:szCs w:val="22"/>
              </w:rPr>
              <w:t xml:space="preserve"> exam questions in class</w:t>
            </w:r>
          </w:p>
          <w:p w14:paraId="7C953E82" w14:textId="4D6BB868" w:rsidR="00811F13" w:rsidRPr="00D03F2E" w:rsidRDefault="00094800" w:rsidP="00D03F2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Regular Knowledge Tests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and </w:t>
            </w:r>
            <w:r w:rsidRPr="00D03F2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Seneca completion</w:t>
            </w:r>
          </w:p>
        </w:tc>
        <w:tc>
          <w:tcPr>
            <w:tcW w:w="1668" w:type="dxa"/>
            <w:vMerge/>
            <w:shd w:val="clear" w:color="auto" w:fill="FFEFFF"/>
          </w:tcPr>
          <w:p w14:paraId="048BF811" w14:textId="77777777" w:rsidR="008E39B4" w:rsidRPr="00D03F2E" w:rsidRDefault="008E39B4" w:rsidP="00FE54CF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Pr="00D03F2E" w:rsidRDefault="006A7B32" w:rsidP="008E39B4"/>
    <w:sectPr w:rsidR="0053445E" w:rsidRPr="00D03F2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598F0" w14:textId="77777777" w:rsidR="006A7B32" w:rsidRDefault="006A7B32" w:rsidP="00017B74">
      <w:pPr>
        <w:spacing w:after="0" w:line="240" w:lineRule="auto"/>
      </w:pPr>
      <w:r>
        <w:separator/>
      </w:r>
    </w:p>
  </w:endnote>
  <w:endnote w:type="continuationSeparator" w:id="0">
    <w:p w14:paraId="52E5B755" w14:textId="77777777" w:rsidR="006A7B32" w:rsidRDefault="006A7B3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6F839" w14:textId="77777777" w:rsidR="006A7B32" w:rsidRDefault="006A7B32" w:rsidP="00017B74">
      <w:pPr>
        <w:spacing w:after="0" w:line="240" w:lineRule="auto"/>
      </w:pPr>
      <w:r>
        <w:separator/>
      </w:r>
    </w:p>
  </w:footnote>
  <w:footnote w:type="continuationSeparator" w:id="0">
    <w:p w14:paraId="6D527816" w14:textId="77777777" w:rsidR="006A7B32" w:rsidRDefault="006A7B3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432843E2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368300"/>
          <wp:effectExtent l="0" t="0" r="9525" b="0"/>
          <wp:wrapTight wrapText="bothSides">
            <wp:wrapPolygon edited="0">
              <wp:start x="342" y="0"/>
              <wp:lineTo x="0" y="3352"/>
              <wp:lineTo x="0" y="15641"/>
              <wp:lineTo x="684" y="20110"/>
              <wp:lineTo x="6383" y="20110"/>
              <wp:lineTo x="21543" y="17876"/>
              <wp:lineTo x="21543" y="0"/>
              <wp:lineTo x="14932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36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9D42F8"/>
    <w:multiLevelType w:val="multilevel"/>
    <w:tmpl w:val="B3E6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366B88"/>
    <w:multiLevelType w:val="multilevel"/>
    <w:tmpl w:val="36D0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96B45"/>
    <w:multiLevelType w:val="multilevel"/>
    <w:tmpl w:val="223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F0CB2"/>
    <w:multiLevelType w:val="hybridMultilevel"/>
    <w:tmpl w:val="920E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056876"/>
    <w:multiLevelType w:val="hybridMultilevel"/>
    <w:tmpl w:val="974CA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3529FD"/>
    <w:multiLevelType w:val="multilevel"/>
    <w:tmpl w:val="1F04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727699"/>
    <w:multiLevelType w:val="multilevel"/>
    <w:tmpl w:val="2C70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82229E"/>
    <w:multiLevelType w:val="multilevel"/>
    <w:tmpl w:val="976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7B2653"/>
    <w:multiLevelType w:val="multilevel"/>
    <w:tmpl w:val="FEFA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736DB9"/>
    <w:multiLevelType w:val="hybridMultilevel"/>
    <w:tmpl w:val="60F28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332945"/>
    <w:multiLevelType w:val="multilevel"/>
    <w:tmpl w:val="FFA2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94800"/>
    <w:rsid w:val="000B21AB"/>
    <w:rsid w:val="0015513D"/>
    <w:rsid w:val="002B0167"/>
    <w:rsid w:val="00311B37"/>
    <w:rsid w:val="003E6B6F"/>
    <w:rsid w:val="00413E73"/>
    <w:rsid w:val="00440E6C"/>
    <w:rsid w:val="00487E07"/>
    <w:rsid w:val="004C5E85"/>
    <w:rsid w:val="005F4E99"/>
    <w:rsid w:val="00663734"/>
    <w:rsid w:val="006A7B32"/>
    <w:rsid w:val="006F65E4"/>
    <w:rsid w:val="007146EF"/>
    <w:rsid w:val="00775427"/>
    <w:rsid w:val="007F7E0C"/>
    <w:rsid w:val="00811F13"/>
    <w:rsid w:val="0083335D"/>
    <w:rsid w:val="00847F4E"/>
    <w:rsid w:val="00867D25"/>
    <w:rsid w:val="008B1952"/>
    <w:rsid w:val="008E39B4"/>
    <w:rsid w:val="009C6330"/>
    <w:rsid w:val="00A23F48"/>
    <w:rsid w:val="00A314F1"/>
    <w:rsid w:val="00AB5527"/>
    <w:rsid w:val="00B17C03"/>
    <w:rsid w:val="00B845CB"/>
    <w:rsid w:val="00BA646E"/>
    <w:rsid w:val="00CA59AB"/>
    <w:rsid w:val="00D03F2E"/>
    <w:rsid w:val="00D37F67"/>
    <w:rsid w:val="00D51E38"/>
    <w:rsid w:val="00DB0006"/>
    <w:rsid w:val="00DC23A5"/>
    <w:rsid w:val="00E5371A"/>
    <w:rsid w:val="00E81059"/>
    <w:rsid w:val="00F43D58"/>
    <w:rsid w:val="00F74442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paragraph">
    <w:name w:val="paragraph"/>
    <w:basedOn w:val="Normal"/>
    <w:rsid w:val="00D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7F67"/>
  </w:style>
  <w:style w:type="character" w:customStyle="1" w:styleId="eop">
    <w:name w:val="eop"/>
    <w:basedOn w:val="DefaultParagraphFont"/>
    <w:rsid w:val="00D3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MRoberts</cp:lastModifiedBy>
  <cp:revision>13</cp:revision>
  <dcterms:created xsi:type="dcterms:W3CDTF">2022-06-29T10:36:00Z</dcterms:created>
  <dcterms:modified xsi:type="dcterms:W3CDTF">2022-06-29T10:46:00Z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